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56" w:rsidRDefault="00F94FF5" w:rsidP="00B57A7A">
      <w:pPr>
        <w:bidi w:val="0"/>
        <w:spacing w:line="276" w:lineRule="auto"/>
        <w:rPr>
          <w:sz w:val="22"/>
          <w:szCs w:val="22"/>
          <w:rtl/>
        </w:rPr>
      </w:pPr>
      <w:r>
        <w:rPr>
          <w:sz w:val="22"/>
          <w:szCs w:val="22"/>
        </w:rPr>
        <w:fldChar w:fldCharType="begin"/>
      </w:r>
      <w:r>
        <w:rPr>
          <w:sz w:val="22"/>
          <w:szCs w:val="22"/>
          <w:rtl/>
        </w:rPr>
        <w:instrText xml:space="preserve"> </w:instrText>
      </w:r>
      <w:r>
        <w:rPr>
          <w:rFonts w:hint="cs"/>
          <w:sz w:val="22"/>
          <w:szCs w:val="22"/>
        </w:rPr>
        <w:instrText>CREATEDATE  \@ "dd MMMM yyyy" \h  \* MERGEFORMAT</w:instrText>
      </w:r>
      <w:r>
        <w:rPr>
          <w:sz w:val="22"/>
          <w:szCs w:val="22"/>
          <w:rtl/>
        </w:rPr>
        <w:instrText xml:space="preserve"> </w:instrText>
      </w:r>
      <w:r>
        <w:rPr>
          <w:sz w:val="22"/>
          <w:szCs w:val="22"/>
        </w:rPr>
        <w:fldChar w:fldCharType="separate"/>
      </w:r>
      <w:r w:rsidR="009F3F45">
        <w:rPr>
          <w:noProof/>
          <w:sz w:val="22"/>
          <w:szCs w:val="22"/>
          <w:rtl/>
        </w:rPr>
        <w:t>‏י"ב אדר ב תשפ"ב</w:t>
      </w:r>
      <w:r>
        <w:rPr>
          <w:sz w:val="22"/>
          <w:szCs w:val="22"/>
        </w:rPr>
        <w:fldChar w:fldCharType="end"/>
      </w:r>
      <w:r w:rsidR="00B57A7A">
        <w:rPr>
          <w:sz w:val="22"/>
          <w:szCs w:val="22"/>
          <w:rtl/>
        </w:rPr>
        <w:t xml:space="preserve"> </w:t>
      </w:r>
    </w:p>
    <w:p w:rsidR="00F94FF5" w:rsidRDefault="00F94FF5" w:rsidP="00B57A7A">
      <w:pPr>
        <w:bidi w:val="0"/>
        <w:spacing w:line="276" w:lineRule="auto"/>
        <w:rPr>
          <w:sz w:val="22"/>
          <w:szCs w:val="22"/>
        </w:rPr>
      </w:pPr>
      <w:r>
        <w:rPr>
          <w:sz w:val="22"/>
          <w:szCs w:val="22"/>
          <w:rtl/>
        </w:rPr>
        <w:fldChar w:fldCharType="begin"/>
      </w:r>
      <w:r>
        <w:rPr>
          <w:sz w:val="22"/>
          <w:szCs w:val="22"/>
          <w:rtl/>
        </w:rPr>
        <w:instrText xml:space="preserve"> </w:instrText>
      </w:r>
      <w:r>
        <w:rPr>
          <w:rFonts w:hint="cs"/>
          <w:sz w:val="22"/>
          <w:szCs w:val="22"/>
        </w:rPr>
        <w:instrText>CREATEDATE  \@ "dd MMMM yyyy"  \* MERGEFORMAT</w:instrText>
      </w:r>
      <w:r>
        <w:rPr>
          <w:sz w:val="22"/>
          <w:szCs w:val="22"/>
          <w:rtl/>
        </w:rPr>
        <w:instrText xml:space="preserve"> </w:instrText>
      </w:r>
      <w:r>
        <w:rPr>
          <w:sz w:val="22"/>
          <w:szCs w:val="22"/>
          <w:rtl/>
        </w:rPr>
        <w:fldChar w:fldCharType="separate"/>
      </w:r>
      <w:r w:rsidR="009F3F45">
        <w:rPr>
          <w:noProof/>
          <w:sz w:val="22"/>
          <w:szCs w:val="22"/>
          <w:rtl/>
        </w:rPr>
        <w:t>‏15 מרץ 2022</w:t>
      </w:r>
      <w:r>
        <w:rPr>
          <w:sz w:val="22"/>
          <w:szCs w:val="22"/>
          <w:rtl/>
        </w:rPr>
        <w:fldChar w:fldCharType="end"/>
      </w:r>
    </w:p>
    <w:p w:rsidR="00F94FF5" w:rsidRDefault="00F94FF5" w:rsidP="00B57393">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9F3F45">
        <w:rPr>
          <w:noProof/>
          <w:sz w:val="22"/>
          <w:szCs w:val="22"/>
        </w:rPr>
        <w:t>81706.docx</w:t>
      </w:r>
      <w:r>
        <w:rPr>
          <w:sz w:val="22"/>
          <w:szCs w:val="22"/>
        </w:rPr>
        <w:fldChar w:fldCharType="end"/>
      </w:r>
    </w:p>
    <w:p w:rsidR="00F94FF5" w:rsidRDefault="00F94FF5"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F94FF5" w:rsidRDefault="00F94FF5" w:rsidP="00F94FF5">
      <w:pPr>
        <w:rPr>
          <w:sz w:val="22"/>
          <w:szCs w:val="22"/>
          <w:rtl/>
        </w:rPr>
      </w:pPr>
    </w:p>
    <w:p w:rsidR="003F3056" w:rsidRDefault="003F3056" w:rsidP="00A2031A">
      <w:pPr>
        <w:rPr>
          <w:sz w:val="22"/>
          <w:szCs w:val="22"/>
          <w:rtl/>
        </w:rPr>
      </w:pPr>
    </w:p>
    <w:p w:rsidR="00801FF1" w:rsidRPr="00B57A7A" w:rsidRDefault="00801FF1" w:rsidP="00B57A7A">
      <w:pPr>
        <w:jc w:val="center"/>
        <w:rPr>
          <w:b/>
          <w:bCs/>
          <w:szCs w:val="24"/>
        </w:rPr>
      </w:pPr>
    </w:p>
    <w:p w:rsidR="00B57A7A" w:rsidRPr="00B57A7A" w:rsidRDefault="00B57A7A" w:rsidP="00B57A7A">
      <w:pPr>
        <w:jc w:val="center"/>
        <w:rPr>
          <w:b/>
          <w:bCs/>
          <w:szCs w:val="24"/>
          <w:rtl/>
        </w:rPr>
      </w:pPr>
      <w:r w:rsidRPr="00B57A7A">
        <w:rPr>
          <w:b/>
          <w:bCs/>
          <w:szCs w:val="24"/>
          <w:rtl/>
        </w:rPr>
        <w:t>הודעה לתק</w:t>
      </w:r>
      <w:r w:rsidRPr="00B57A7A">
        <w:rPr>
          <w:rFonts w:hint="cs"/>
          <w:b/>
          <w:bCs/>
          <w:szCs w:val="24"/>
          <w:rtl/>
        </w:rPr>
        <w:t>שורת:</w:t>
      </w:r>
    </w:p>
    <w:p w:rsidR="00360282" w:rsidRDefault="009F3F45" w:rsidP="009F3F45">
      <w:pPr>
        <w:rPr>
          <w:b/>
          <w:bCs/>
          <w:szCs w:val="24"/>
          <w:rtl/>
        </w:rPr>
      </w:pPr>
      <w:r w:rsidRPr="009F3F45">
        <w:rPr>
          <w:b/>
          <w:bCs/>
          <w:color w:val="1F497D" w:themeColor="text2"/>
          <w:sz w:val="32"/>
          <w:szCs w:val="32"/>
          <w:rtl/>
        </w:rPr>
        <w:t>רשות נחל הקישון ערערה על החלטת הוועדה המחוזית לתכנון ובנייה לאשר לחנ"י להציב מחסנים על גדות הנחל ללא הכנת תסקיר השפעה על הסביבה</w:t>
      </w:r>
    </w:p>
    <w:p w:rsidR="00360282" w:rsidRDefault="00360282" w:rsidP="009F3F45">
      <w:pPr>
        <w:rPr>
          <w:b/>
          <w:bCs/>
          <w:szCs w:val="24"/>
          <w:rtl/>
        </w:rPr>
      </w:pPr>
    </w:p>
    <w:p w:rsidR="00360282" w:rsidRPr="00360282" w:rsidRDefault="00360282" w:rsidP="00360282">
      <w:pPr>
        <w:rPr>
          <w:b/>
          <w:bCs/>
          <w:szCs w:val="24"/>
          <w:rtl/>
        </w:rPr>
      </w:pPr>
    </w:p>
    <w:p w:rsidR="00360282" w:rsidRDefault="00360282" w:rsidP="00360282">
      <w:pPr>
        <w:rPr>
          <w:rFonts w:ascii="David" w:eastAsia="Calibri" w:hAnsi="David"/>
          <w:szCs w:val="24"/>
          <w:rtl/>
        </w:rPr>
      </w:pPr>
      <w:r w:rsidRPr="00360282">
        <w:rPr>
          <w:rFonts w:ascii="David" w:eastAsia="Calibri" w:hAnsi="David"/>
          <w:szCs w:val="24"/>
          <w:rtl/>
        </w:rPr>
        <w:t>רשות הנחל, באמצעות יועציה המשפטיים, עו"ד אלי וילצ'יק ועו"ד רוית צימנט, הגישה את הערר לוועדת המשנה לעררים של המועצה הארצית לתכנון ובניה ופרסה שורה של טענות כנגד החלטת הועדה המחוזית חיפה אשר פטרה את חנ"י מהצורך בהכנת תסקיר השפעה על הסביבה לתכנית האחסנה הלוגיסטית של נמל המפרץ, שחלקים ממנה צמודים לסביבת הנחל הייחודית שהינה משאב טבע נדיר, שריד אחרון לנופי מלחת הקישון. ברשות מזהירים כי התכנית תהפוך, הלכה למעשה, את מרחב הקישון לאזור של מחסני ענק ומשטחי אספלט לאחסון מכולות במקום שראוי להקים בו פארק רחב ידיים לטובת תושבי מטרופולין חיפה ותפג</w:t>
      </w:r>
      <w:r>
        <w:rPr>
          <w:rFonts w:ascii="David" w:eastAsia="Calibri" w:hAnsi="David"/>
          <w:szCs w:val="24"/>
          <w:rtl/>
        </w:rPr>
        <w:t>ע קשות בהקמתו של פארק מורד הנחל</w:t>
      </w:r>
      <w:r>
        <w:rPr>
          <w:rFonts w:ascii="David" w:eastAsia="Calibri" w:hAnsi="David" w:hint="cs"/>
          <w:szCs w:val="24"/>
          <w:rtl/>
        </w:rPr>
        <w:t>.</w:t>
      </w:r>
    </w:p>
    <w:p w:rsidR="00360282" w:rsidRPr="00360282" w:rsidRDefault="00360282" w:rsidP="00360282">
      <w:pPr>
        <w:rPr>
          <w:rFonts w:ascii="David" w:eastAsia="Calibri" w:hAnsi="David"/>
          <w:szCs w:val="24"/>
          <w:rtl/>
        </w:rPr>
      </w:pPr>
    </w:p>
    <w:p w:rsidR="00360282" w:rsidRDefault="00360282" w:rsidP="00360282">
      <w:pPr>
        <w:rPr>
          <w:rFonts w:ascii="David" w:eastAsia="Calibri" w:hAnsi="David"/>
          <w:szCs w:val="24"/>
          <w:rtl/>
        </w:rPr>
      </w:pPr>
      <w:r w:rsidRPr="00360282">
        <w:rPr>
          <w:rFonts w:ascii="David" w:eastAsia="Calibri" w:hAnsi="David"/>
          <w:szCs w:val="24"/>
          <w:rtl/>
        </w:rPr>
        <w:t xml:space="preserve">עו"ד וילצ'יק טוען בכתב הערר כי בהחלטה לאפשר את הפטור נפלו טעויות מהותיות ובראשן הנחה שגויה ביסודה לפיה התכנית אינה מרעה את המצב הנוכחי המאושר וזאת תוך התעלמות מההשלכות הסביבתיות הקשות של התכנית, כגון: פגיעה בבתי גידול, בחי ובצומח, עומס תחבורתי, זיהום אויר, מפגעי נוף ורעש, צמצום שטחי חלחול טבעיים והגברת תופעת אי החום העירוני. כל אלה כשלעצמן מחייבות הכנת תסקיר השפעה על הסביבה. </w:t>
      </w:r>
    </w:p>
    <w:p w:rsidR="00360282" w:rsidRPr="00360282" w:rsidRDefault="00360282" w:rsidP="00360282">
      <w:pPr>
        <w:rPr>
          <w:rFonts w:ascii="David" w:eastAsia="Calibri" w:hAnsi="David"/>
          <w:szCs w:val="24"/>
          <w:rtl/>
        </w:rPr>
      </w:pPr>
    </w:p>
    <w:p w:rsidR="00360282" w:rsidRPr="00360282" w:rsidRDefault="00360282" w:rsidP="00360282">
      <w:pPr>
        <w:rPr>
          <w:rFonts w:ascii="David" w:eastAsia="Calibri" w:hAnsi="David"/>
          <w:szCs w:val="24"/>
          <w:rtl/>
        </w:rPr>
      </w:pPr>
      <w:r w:rsidRPr="00360282">
        <w:rPr>
          <w:rFonts w:ascii="David" w:eastAsia="Calibri" w:hAnsi="David"/>
          <w:szCs w:val="24"/>
          <w:rtl/>
        </w:rPr>
        <w:t xml:space="preserve">יתרה מכך, התכניות החלות במרחב הינן תכניות מתקופת המנדט הבריטי, בתקופה בה לא הייתה מודעות לנושאי איכות הסביבה. בנוסף, קיים ספק רב אם ניתן להוציא היתרי בנייה על סמך תכניות אלו, דבר שלא נבדק על ידי מוסדות התכנון. לא יעלה על הדעת שעל בסיס תכניות ישנות אלו, יאשרו תכניות בימים אלו. </w:t>
      </w:r>
    </w:p>
    <w:p w:rsidR="00360282" w:rsidRDefault="00360282" w:rsidP="00360282">
      <w:pPr>
        <w:rPr>
          <w:rFonts w:ascii="David" w:eastAsia="Calibri" w:hAnsi="David"/>
          <w:szCs w:val="24"/>
          <w:rtl/>
        </w:rPr>
      </w:pPr>
      <w:r w:rsidRPr="00360282">
        <w:rPr>
          <w:rFonts w:ascii="David" w:eastAsia="Calibri" w:hAnsi="David"/>
          <w:szCs w:val="24"/>
          <w:rtl/>
        </w:rPr>
        <w:t>בעמדת הרשות תמכו גופים נוספים: רט"ג, קק"ל, איגוד ערים להגנת הסביבה חיפה, ארגוני סביבה וראשי רשויות במרחב.  בין העוררים רוית שטוסל מרכזת התארגנות "מנקים את מפרץ חיפה". לדברי רוית: "כחלק ממאבקנו להבראת וניקיון מפרץ חיפה, אנחנו פועלים לביטולן של תוכניות רעות ותכנית העורף הלוגיסטי של חנ"י, בצמוד לגדות נחל הקישון, נכנסת למשבצת זו. במשך שנים הונהגה דורסנות איומה על חשבון ערכי הטבע הנדירים במפרץ ואיכות חייהם של תושבי מטרופולין חיפה והעת הגיעה לשים לזה סוף. בפני הועדה המחוזית עמדה אפשרות להרחיב את שטחי הפארק שלא נוצלה על ידם ולא נבחנה כנדרש. לא נאפשר קידומם של הליכים מקלים אשר מבקשים לפגוע בפנינת טבע זו. תודה לעו"ד עומר בכמן ממשרד עורכי הדין יוסף ברינט שהתגייס בהתנדבות מלאה לכתיבת הערר ולייצוג ההתארגנות".</w:t>
      </w:r>
    </w:p>
    <w:p w:rsidR="00360282" w:rsidRPr="00360282" w:rsidRDefault="00360282" w:rsidP="00360282">
      <w:pPr>
        <w:rPr>
          <w:rFonts w:ascii="David" w:eastAsia="Calibri" w:hAnsi="David"/>
          <w:szCs w:val="24"/>
          <w:rtl/>
        </w:rPr>
      </w:pPr>
    </w:p>
    <w:p w:rsidR="00360282" w:rsidRPr="00360282" w:rsidRDefault="00360282" w:rsidP="00360282">
      <w:pPr>
        <w:rPr>
          <w:rFonts w:ascii="David" w:eastAsia="Calibri" w:hAnsi="David"/>
          <w:b/>
          <w:bCs/>
          <w:szCs w:val="24"/>
          <w:rtl/>
        </w:rPr>
      </w:pPr>
      <w:r w:rsidRPr="00360282">
        <w:rPr>
          <w:rFonts w:ascii="David" w:eastAsia="Calibri" w:hAnsi="David"/>
          <w:b/>
          <w:bCs/>
          <w:szCs w:val="24"/>
          <w:rtl/>
        </w:rPr>
        <w:t>מנכ"לית רשות נחל הקישון, שרון נסים: "החלטת הוועדה המחוזית לתכנון ובנייה לאשר את תכנית האחסנה הלוגיסטית של חברת נמלי ישראל ולפטור אותה מהצורך בהכנת תסקיר איכות סביבה, הינה החלטה תמוהה ומקוממת. ההחלטה לחייב תכנית בהכנת תסקיר הינה הליך כמעט אוטומטי בכל פרויקט בנייה משמעותי, בוודאי באזור רגישים לסביבה. פטור זה עלול להוות תקדים מסוכן שיאפשר לגופי תשתית נוספים לפגוע בסביבה. אם ההחלטה לא תשונה הרי שמדובר בפגיעה קשה בתושבי מטרופולין חיפה, פגיעה שתיזכר לדיראון עולם".</w:t>
      </w:r>
    </w:p>
    <w:p w:rsidR="006A54C3" w:rsidRDefault="006A54C3" w:rsidP="00B7207C">
      <w:pPr>
        <w:spacing w:line="360" w:lineRule="auto"/>
        <w:rPr>
          <w:color w:val="FF0000"/>
          <w:szCs w:val="24"/>
          <w:rtl/>
        </w:rPr>
      </w:pPr>
    </w:p>
    <w:p w:rsidR="006A54C3" w:rsidRPr="00B7207C" w:rsidRDefault="006A54C3" w:rsidP="00B7207C">
      <w:pPr>
        <w:spacing w:line="360" w:lineRule="auto"/>
        <w:rPr>
          <w:rFonts w:ascii="David" w:eastAsia="Calibri" w:hAnsi="David"/>
          <w:szCs w:val="24"/>
          <w:rtl/>
        </w:rPr>
      </w:pPr>
    </w:p>
    <w:p w:rsidR="00B7207C" w:rsidRPr="00A2031A" w:rsidRDefault="00B7207C" w:rsidP="00360282">
      <w:pPr>
        <w:bidi w:val="0"/>
        <w:rPr>
          <w:szCs w:val="24"/>
        </w:rPr>
      </w:pPr>
      <w:bookmarkStart w:id="0" w:name="_GoBack"/>
      <w:bookmarkEnd w:id="0"/>
    </w:p>
    <w:sectPr w:rsidR="00B7207C" w:rsidRPr="00A2031A"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BF" w:rsidRDefault="006041BF">
      <w:r>
        <w:separator/>
      </w:r>
    </w:p>
  </w:endnote>
  <w:endnote w:type="continuationSeparator" w:id="0">
    <w:p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rsidR="00365F48" w:rsidRDefault="00365F4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360282" w:rsidRPr="00360282">
      <w:rPr>
        <w:rFonts w:ascii="Arial" w:hAnsi="Arial" w:cs="Arial"/>
        <w:noProof/>
        <w:sz w:val="22"/>
        <w:szCs w:val="22"/>
        <w:rtl/>
        <w:lang w:val="he-IL"/>
      </w:rPr>
      <w:t>-</w:t>
    </w:r>
    <w:r w:rsidR="00360282">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rsidR="00365F48" w:rsidRPr="0059464C" w:rsidRDefault="0064323E" w:rsidP="0059464C">
    <w:pPr>
      <w:pStyle w:val="a9"/>
      <w:jc w:val="center"/>
      <w:rPr>
        <w:rFonts w:ascii="Arial" w:hAnsi="Arial" w:cs="Arial"/>
        <w:sz w:val="22"/>
        <w:szCs w:val="22"/>
        <w:rtl/>
      </w:rPr>
    </w:pPr>
    <w:r>
      <w:rPr>
        <w:noProof/>
      </w:rPr>
      <w:drawing>
        <wp:inline distT="0" distB="0" distL="0" distR="0" wp14:anchorId="1B788A84" wp14:editId="7A66A9A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lc="http://schemas.openxmlformats.org/drawingml/2006/lockedCanvas"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BF" w:rsidRDefault="006041BF">
      <w:r>
        <w:separator/>
      </w:r>
    </w:p>
  </w:footnote>
  <w:footnote w:type="continuationSeparator" w:id="0">
    <w:p w:rsidR="006041BF" w:rsidRDefault="006041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Pr="0059464C" w:rsidRDefault="0064323E" w:rsidP="00A44D87">
    <w:pPr>
      <w:pStyle w:val="a6"/>
      <w:jc w:val="right"/>
      <w:rPr>
        <w:rFonts w:ascii="Arial" w:hAnsi="Arial" w:cs="Arial"/>
        <w:szCs w:val="20"/>
        <w:rtl/>
      </w:rPr>
    </w:pPr>
    <w:r>
      <w:rPr>
        <w:noProof/>
      </w:rPr>
      <w:drawing>
        <wp:inline distT="0" distB="0" distL="0" distR="0" wp14:anchorId="1BF79D14" wp14:editId="0551B766">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lc="http://schemas.openxmlformats.org/drawingml/2006/lockedCanvas"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2"/>
  </w:num>
  <w:num w:numId="4">
    <w:abstractNumId w:val="25"/>
  </w:num>
  <w:num w:numId="5">
    <w:abstractNumId w:val="24"/>
  </w:num>
  <w:num w:numId="6">
    <w:abstractNumId w:val="15"/>
  </w:num>
  <w:num w:numId="7">
    <w:abstractNumId w:val="23"/>
  </w:num>
  <w:num w:numId="8">
    <w:abstractNumId w:val="34"/>
  </w:num>
  <w:num w:numId="9">
    <w:abstractNumId w:val="3"/>
  </w:num>
  <w:num w:numId="10">
    <w:abstractNumId w:val="21"/>
  </w:num>
  <w:num w:numId="11">
    <w:abstractNumId w:val="20"/>
  </w:num>
  <w:num w:numId="12">
    <w:abstractNumId w:val="17"/>
  </w:num>
  <w:num w:numId="13">
    <w:abstractNumId w:val="11"/>
  </w:num>
  <w:num w:numId="14">
    <w:abstractNumId w:val="8"/>
  </w:num>
  <w:num w:numId="15">
    <w:abstractNumId w:val="5"/>
  </w:num>
  <w:num w:numId="16">
    <w:abstractNumId w:val="30"/>
  </w:num>
  <w:num w:numId="17">
    <w:abstractNumId w:val="29"/>
  </w:num>
  <w:num w:numId="18">
    <w:abstractNumId w:val="35"/>
  </w:num>
  <w:num w:numId="19">
    <w:abstractNumId w:val="0"/>
  </w:num>
  <w:num w:numId="20">
    <w:abstractNumId w:val="6"/>
  </w:num>
  <w:num w:numId="21">
    <w:abstractNumId w:val="26"/>
  </w:num>
  <w:num w:numId="22">
    <w:abstractNumId w:val="14"/>
  </w:num>
  <w:num w:numId="23">
    <w:abstractNumId w:val="13"/>
  </w:num>
  <w:num w:numId="24">
    <w:abstractNumId w:val="19"/>
  </w:num>
  <w:num w:numId="25">
    <w:abstractNumId w:val="16"/>
  </w:num>
  <w:num w:numId="26">
    <w:abstractNumId w:val="27"/>
  </w:num>
  <w:num w:numId="27">
    <w:abstractNumId w:val="7"/>
  </w:num>
  <w:num w:numId="28">
    <w:abstractNumId w:val="33"/>
  </w:num>
  <w:num w:numId="29">
    <w:abstractNumId w:val="28"/>
  </w:num>
  <w:num w:numId="30">
    <w:abstractNumId w:val="10"/>
  </w:num>
  <w:num w:numId="31">
    <w:abstractNumId w:val="9"/>
  </w:num>
  <w:num w:numId="32">
    <w:abstractNumId w:val="4"/>
  </w:num>
  <w:num w:numId="33">
    <w:abstractNumId w:val="1"/>
  </w:num>
  <w:num w:numId="34">
    <w:abstractNumId w:val="18"/>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24577"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BF"/>
    <w:rsid w:val="00001A89"/>
    <w:rsid w:val="000028FC"/>
    <w:rsid w:val="000041EF"/>
    <w:rsid w:val="000145BE"/>
    <w:rsid w:val="000176E9"/>
    <w:rsid w:val="000404E7"/>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6AB6"/>
    <w:rsid w:val="000B347C"/>
    <w:rsid w:val="000B563C"/>
    <w:rsid w:val="000C3983"/>
    <w:rsid w:val="000C581F"/>
    <w:rsid w:val="000D394B"/>
    <w:rsid w:val="000D6630"/>
    <w:rsid w:val="000D684D"/>
    <w:rsid w:val="000F41F0"/>
    <w:rsid w:val="0010092C"/>
    <w:rsid w:val="00105538"/>
    <w:rsid w:val="00115C5C"/>
    <w:rsid w:val="001217E5"/>
    <w:rsid w:val="0012559A"/>
    <w:rsid w:val="00135303"/>
    <w:rsid w:val="00141113"/>
    <w:rsid w:val="001532C3"/>
    <w:rsid w:val="00153B2B"/>
    <w:rsid w:val="00156456"/>
    <w:rsid w:val="00161CF1"/>
    <w:rsid w:val="0016760D"/>
    <w:rsid w:val="00173DB5"/>
    <w:rsid w:val="00174F72"/>
    <w:rsid w:val="0019354D"/>
    <w:rsid w:val="001B0BC8"/>
    <w:rsid w:val="001B1606"/>
    <w:rsid w:val="001C04E2"/>
    <w:rsid w:val="001C17E2"/>
    <w:rsid w:val="001D01C4"/>
    <w:rsid w:val="001D0D93"/>
    <w:rsid w:val="001E1A7D"/>
    <w:rsid w:val="001E27FE"/>
    <w:rsid w:val="001E5158"/>
    <w:rsid w:val="001F3125"/>
    <w:rsid w:val="001F3CC8"/>
    <w:rsid w:val="00200F64"/>
    <w:rsid w:val="00201449"/>
    <w:rsid w:val="00210EFE"/>
    <w:rsid w:val="00216AB8"/>
    <w:rsid w:val="002261ED"/>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7457"/>
    <w:rsid w:val="002D0179"/>
    <w:rsid w:val="002D1CA7"/>
    <w:rsid w:val="002E4126"/>
    <w:rsid w:val="002E72C4"/>
    <w:rsid w:val="002E76E0"/>
    <w:rsid w:val="002F17B0"/>
    <w:rsid w:val="002F18D5"/>
    <w:rsid w:val="002F217A"/>
    <w:rsid w:val="002F317B"/>
    <w:rsid w:val="002F740F"/>
    <w:rsid w:val="00313292"/>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A86"/>
    <w:rsid w:val="004625D8"/>
    <w:rsid w:val="00464F80"/>
    <w:rsid w:val="00467D39"/>
    <w:rsid w:val="004722EE"/>
    <w:rsid w:val="00485435"/>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1215"/>
    <w:rsid w:val="005620BC"/>
    <w:rsid w:val="00564B3C"/>
    <w:rsid w:val="00572F58"/>
    <w:rsid w:val="00580B44"/>
    <w:rsid w:val="005825DA"/>
    <w:rsid w:val="00582CC4"/>
    <w:rsid w:val="00583896"/>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1BA7"/>
    <w:rsid w:val="00622FF6"/>
    <w:rsid w:val="0064055B"/>
    <w:rsid w:val="0064323E"/>
    <w:rsid w:val="006701A1"/>
    <w:rsid w:val="00673266"/>
    <w:rsid w:val="006802FC"/>
    <w:rsid w:val="006806FE"/>
    <w:rsid w:val="00682A4D"/>
    <w:rsid w:val="006874BC"/>
    <w:rsid w:val="00691B41"/>
    <w:rsid w:val="006A1CFA"/>
    <w:rsid w:val="006A54C3"/>
    <w:rsid w:val="006A7307"/>
    <w:rsid w:val="006B5D22"/>
    <w:rsid w:val="006C0DBC"/>
    <w:rsid w:val="006C1740"/>
    <w:rsid w:val="006E18AE"/>
    <w:rsid w:val="006E7BD2"/>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41283"/>
    <w:rsid w:val="008424ED"/>
    <w:rsid w:val="00854BCE"/>
    <w:rsid w:val="00856FAA"/>
    <w:rsid w:val="00860E44"/>
    <w:rsid w:val="00871039"/>
    <w:rsid w:val="008840B7"/>
    <w:rsid w:val="008901D1"/>
    <w:rsid w:val="008A2F42"/>
    <w:rsid w:val="008A31BF"/>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B0626"/>
    <w:rsid w:val="009D32B7"/>
    <w:rsid w:val="009D7D5C"/>
    <w:rsid w:val="009E1FFA"/>
    <w:rsid w:val="009E2815"/>
    <w:rsid w:val="009E3948"/>
    <w:rsid w:val="009F3F45"/>
    <w:rsid w:val="00A12337"/>
    <w:rsid w:val="00A16973"/>
    <w:rsid w:val="00A16A2B"/>
    <w:rsid w:val="00A170D1"/>
    <w:rsid w:val="00A2031A"/>
    <w:rsid w:val="00A35092"/>
    <w:rsid w:val="00A40FE4"/>
    <w:rsid w:val="00A41598"/>
    <w:rsid w:val="00A44D87"/>
    <w:rsid w:val="00A5134B"/>
    <w:rsid w:val="00A530F7"/>
    <w:rsid w:val="00A639CA"/>
    <w:rsid w:val="00A63C71"/>
    <w:rsid w:val="00A70E0A"/>
    <w:rsid w:val="00A77E05"/>
    <w:rsid w:val="00A92D91"/>
    <w:rsid w:val="00AB21A1"/>
    <w:rsid w:val="00AB4015"/>
    <w:rsid w:val="00AC723A"/>
    <w:rsid w:val="00AD3703"/>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48B2"/>
    <w:rsid w:val="00BA498E"/>
    <w:rsid w:val="00BA6C7B"/>
    <w:rsid w:val="00BB0611"/>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566C"/>
    <w:rsid w:val="00C431DB"/>
    <w:rsid w:val="00C506B8"/>
    <w:rsid w:val="00C56EC8"/>
    <w:rsid w:val="00C64E12"/>
    <w:rsid w:val="00C7275B"/>
    <w:rsid w:val="00C77F80"/>
    <w:rsid w:val="00C80465"/>
    <w:rsid w:val="00C85DBF"/>
    <w:rsid w:val="00C90EF1"/>
    <w:rsid w:val="00C9337C"/>
    <w:rsid w:val="00CB51A0"/>
    <w:rsid w:val="00CC35CE"/>
    <w:rsid w:val="00CC47A6"/>
    <w:rsid w:val="00CC4E71"/>
    <w:rsid w:val="00CD2578"/>
    <w:rsid w:val="00CD6ADB"/>
    <w:rsid w:val="00CE78C1"/>
    <w:rsid w:val="00D00ABB"/>
    <w:rsid w:val="00D04996"/>
    <w:rsid w:val="00D04B4C"/>
    <w:rsid w:val="00D0558B"/>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D0CA2"/>
    <w:rsid w:val="00DD5062"/>
    <w:rsid w:val="00DD6439"/>
    <w:rsid w:val="00DE0967"/>
    <w:rsid w:val="00DE4849"/>
    <w:rsid w:val="00E02227"/>
    <w:rsid w:val="00E04AAA"/>
    <w:rsid w:val="00E069E6"/>
    <w:rsid w:val="00E11862"/>
    <w:rsid w:val="00E232DC"/>
    <w:rsid w:val="00E333FA"/>
    <w:rsid w:val="00E407CD"/>
    <w:rsid w:val="00E521C3"/>
    <w:rsid w:val="00E62925"/>
    <w:rsid w:val="00E66769"/>
    <w:rsid w:val="00E95A45"/>
    <w:rsid w:val="00EA602B"/>
    <w:rsid w:val="00EB2A06"/>
    <w:rsid w:val="00EB6748"/>
    <w:rsid w:val="00EB7897"/>
    <w:rsid w:val="00ED3929"/>
    <w:rsid w:val="00ED514C"/>
    <w:rsid w:val="00EF0A5C"/>
    <w:rsid w:val="00F0103C"/>
    <w:rsid w:val="00F02BF3"/>
    <w:rsid w:val="00F0309A"/>
    <w:rsid w:val="00F03200"/>
    <w:rsid w:val="00F05C6F"/>
    <w:rsid w:val="00F065EB"/>
    <w:rsid w:val="00F146CD"/>
    <w:rsid w:val="00F36718"/>
    <w:rsid w:val="00F45382"/>
    <w:rsid w:val="00F45E0F"/>
    <w:rsid w:val="00F55AC6"/>
    <w:rsid w:val="00F62BAA"/>
    <w:rsid w:val="00F72FC0"/>
    <w:rsid w:val="00F82850"/>
    <w:rsid w:val="00F92740"/>
    <w:rsid w:val="00F94FF5"/>
    <w:rsid w:val="00F95BC2"/>
    <w:rsid w:val="00FA3DF1"/>
    <w:rsid w:val="00FA4190"/>
    <w:rsid w:val="00FB0ED5"/>
    <w:rsid w:val="00FB3BA8"/>
    <w:rsid w:val="00FB3BCB"/>
    <w:rsid w:val="00FB4328"/>
    <w:rsid w:val="00FB6F17"/>
    <w:rsid w:val="00FC400D"/>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left" fill="f" fillcolor="white" stroke="f">
      <v:fill color="white" on="f"/>
      <v:stroke on="f"/>
    </o:shapedefaults>
    <o:shapelayout v:ext="edit">
      <o:idmap v:ext="edit" data="1"/>
    </o:shapelayout>
  </w:shapeDefaults>
  <w:decimalSymbol w:val="."/>
  <w:listSeparator w:val=","/>
  <w14:docId w14:val="641090A1"/>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3</TotalTime>
  <Pages>1</Pages>
  <Words>474</Words>
  <Characters>2267</Characters>
  <Application>Microsoft Office Word</Application>
  <DocSecurity>0</DocSecurity>
  <Lines>133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לתקשורת:עדכון לגבי אירוע זיהום מאתמול בנחל גדורה עקב עבודות הרכבת  הקלה 10.3.22</vt:lpstr>
      <vt:lpstr>פרק 5: איכות מי נחל הקישון</vt:lpstr>
    </vt:vector>
  </TitlesOfParts>
  <Company>Ariem</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לתקשורת:רשות נחל הקישון ערערה על החלטת הוועדה המחוזית לתכנון ובנייה לאשר לחני להציב מחסנים על גדות  הנחל ללא הכנת תסקיר על הסביבה </dc:title>
  <dc:subject>הודעות לעיתונות</dc:subject>
  <dc:creator>shirel</dc:creator>
  <cp:keywords/>
  <dc:description/>
  <cp:lastModifiedBy>Shirel Turjeman</cp:lastModifiedBy>
  <cp:revision>4</cp:revision>
  <cp:lastPrinted>2011-09-14T10:20:00Z</cp:lastPrinted>
  <dcterms:created xsi:type="dcterms:W3CDTF">2022-03-15T11:21:00Z</dcterms:created>
  <dcterms:modified xsi:type="dcterms:W3CDTF">2022-03-15T12:18:00Z</dcterms:modified>
</cp:coreProperties>
</file>